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601C7E">
      <w:pPr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</w:rPr>
        <w:t>24 марта Государственная дума России приняла законопроект с поправками, предполагающими уголовное наказание за посягательство на историческую память и искажение правды о геноциде советского народа. Какая вводится ответственность и за какие действия — читайте в карточках.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br w:type="textWrapping"/>
      </w:r>
    </w:p>
    <w:p w14:paraId="30E984DC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#нцпти_аналитика </w:t>
      </w:r>
      <w:bookmarkStart w:id="0" w:name="_GoBack"/>
      <w:bookmarkEnd w:id="0"/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elvetica Neue">
    <w:panose1 w:val="02000503040000020004"/>
    <w:charset w:val="00"/>
    <w:family w:val="auto"/>
    <w:pitch w:val="default"/>
    <w:sig w:usb0="8000020B" w:usb1="10000048" w:usb2="00000000" w:usb3="00000000" w:csb0="00000004" w:csb1="02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F452F3"/>
    <w:rsid w:val="46F45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2026-04-16T13:35:00Z</dcterms:created>
  <dc:creator>Татьяна</dc:creator>
  <cp:lastModifiedBy>Татьяна</cp:lastModifiedBy>
  <dcterms:modified xsi:type="dcterms:W3CDTF">2026-04-16T13:36:54Z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30B74338E20848F1AB246A82E7955A60_11</vt:lpwstr>
  </property>
</Properties>
</file>